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ANA ISABEL COBA OSORIO</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COMERCIAL PLAZA DE LAS AMÉRICAS - PROPIEDAD HORIZONTAL</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Carrera 71D 6-</w:t>
      </w:r>
      <w:r w:rsidDel="00000000" w:rsidR="00000000" w:rsidRPr="00000000">
        <w:rPr>
          <w:rFonts w:ascii="Arial" w:cs="Arial" w:eastAsia="Arial" w:hAnsi="Arial"/>
          <w:sz w:val="22"/>
          <w:szCs w:val="22"/>
          <w:rtl w:val="0"/>
        </w:rPr>
        <w:t xml:space="preserve">94 sur</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TELÉFONO:3168764605</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2021ER36234</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CENTRO COMERCIAL PLAZA DE LAS AMÉRICAS - PROPIEDAD HORIZONTAL identificada con NIT 800154155-6 y cuya sede inscrita fue la ubicada en Carrera 71D 6-</w:t>
            </w:r>
            <w:r w:rsidDel="00000000" w:rsidR="00000000" w:rsidRPr="00000000">
              <w:rPr>
                <w:rFonts w:ascii="Arial" w:cs="Arial" w:eastAsia="Arial" w:hAnsi="Arial"/>
                <w:sz w:val="22"/>
                <w:szCs w:val="22"/>
                <w:rtl w:val="0"/>
              </w:rPr>
              <w:t xml:space="preserve">94 sur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9"/>
              <w:gridCol w:w="2786"/>
              <w:gridCol w:w="2763"/>
              <w:tblGridChange w:id="0">
                <w:tblGrid>
                  <w:gridCol w:w="2719"/>
                  <w:gridCol w:w="2786"/>
                  <w:gridCol w:w="2763"/>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CENTRO COMERCIAL PLAZA DE LAS AMÉRICAS - PROPIEDAD HORIZONTAL</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INNOVACIÓN Y RECONVERSIÓN TECNOLÓGICA</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b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827" w:hRule="atLeast"/>
          <w:tblHeader w:val="0"/>
        </w:trPr>
        <w:tc>
          <w:tcPr>
            <w:shd w:fill="auto" w:val="clea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59"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6"/>
              <w:gridCol w:w="1408"/>
              <w:gridCol w:w="5274"/>
              <w:tblGridChange w:id="0">
                <w:tblGrid>
                  <w:gridCol w:w="1586"/>
                  <w:gridCol w:w="1408"/>
                  <w:gridCol w:w="5274"/>
                </w:tblGrid>
              </w:tblGridChange>
            </w:tblGrid>
            <w:tr>
              <w:trPr>
                <w:cantSplit w:val="0"/>
                <w:tblHeader w:val="0"/>
              </w:trPr>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w:t>
                  </w:r>
                </w:p>
              </w:tc>
            </w:tr>
            <w:tr>
              <w:trPr>
                <w:cantSplit w:val="0"/>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profesional Yeison Ferrer Enciso Fino, asistió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30 de los 30 posibles. La revisión del documento denominado "Formato 1 de formulación de proyecto" permitió identificar oportunidades de mejora que fueron previamente socializadas vía correo electrónico y que para efectos del presente informe se presentarán nuevamente: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recomendó profundizar sobre el ejercicio de acompañamiento con proveedor seleccionado</w:t>
                  </w:r>
                </w:p>
              </w:tc>
            </w:tr>
            <w:tr>
              <w:trPr>
                <w:cantSplit w:val="0"/>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40 de los 40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Respecto al proyecto de la segunda fase de planta de generación a partir de tecnología fotovoltaica,  se identifica avance en la operación del sistema; se cuenta con indicadores formulados sobre los cuales se evidencian resultados claros y finalmente, se evidencia el cumplimiento de las actividades propuestas en el primer entregable, </w:t>
                  </w:r>
                  <w:r w:rsidDel="00000000" w:rsidR="00000000" w:rsidRPr="00000000">
                    <w:rPr>
                      <w:rFonts w:ascii="Arial" w:cs="Arial" w:eastAsia="Arial" w:hAnsi="Arial"/>
                      <w:sz w:val="22"/>
                      <w:szCs w:val="22"/>
                      <w:rtl w:val="0"/>
                    </w:rPr>
                    <w:t xml:space="preserve">encontrándose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fase final de divulgación y sensibilización del proyecto, aún cuando un porcentaje de </w:t>
                  </w:r>
                  <w:r w:rsidDel="00000000" w:rsidR="00000000" w:rsidRPr="00000000">
                    <w:rPr>
                      <w:rFonts w:ascii="Arial" w:cs="Arial" w:eastAsia="Arial" w:hAnsi="Arial"/>
                      <w:sz w:val="22"/>
                      <w:szCs w:val="22"/>
                      <w:rtl w:val="0"/>
                    </w:rPr>
                    <w:t xml:space="preserve">los paneles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se encuentra en funcionamiento debido a que se encuentran conectados a una zona del centro comercial  que aún no se encuentra construida.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también presenta su proyecto de puntos de carga  para </w:t>
                  </w:r>
                  <w:r w:rsidDel="00000000" w:rsidR="00000000" w:rsidRPr="00000000">
                    <w:rPr>
                      <w:rFonts w:ascii="Arial" w:cs="Arial" w:eastAsia="Arial" w:hAnsi="Arial"/>
                      <w:sz w:val="22"/>
                      <w:szCs w:val="22"/>
                      <w:rtl w:val="0"/>
                    </w:rPr>
                    <w:t xml:space="preserve">vehículos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eléctricos</w:t>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r>
            <w:tr>
              <w:trPr>
                <w:cantSplit w:val="0"/>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20 de los 20 puntos posibles correspondientes al </w:t>
                  </w:r>
                  <w:r w:rsidDel="00000000" w:rsidR="00000000" w:rsidRPr="00000000">
                    <w:rPr>
                      <w:rFonts w:ascii="Arial" w:cs="Arial" w:eastAsia="Arial" w:hAnsi="Arial"/>
                      <w:sz w:val="22"/>
                      <w:szCs w:val="22"/>
                      <w:rtl w:val="0"/>
                    </w:rPr>
                    <w:t xml:space="preserve">último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entregable, evidenciando la selección y acompañamiento para el proveedor The people company. El proveedor presenta caracterización energética, identificando la energía eléctrica como su energético más significativo y el proceso administrativo como el de mayor consumo, estableciendo oportunidades de mejora en su desempeño energético.</w:t>
                  </w:r>
                </w:p>
              </w:tc>
            </w:tr>
            <w:tr>
              <w:trPr>
                <w:cantSplit w:val="0"/>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PUNTAJE TOTAL OBTENIDO </w:t>
                  </w:r>
                </w:p>
              </w:tc>
              <w:tc>
                <w:tcPr>
                  <w:gridSpan w:val="2"/>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100</w:t>
                  </w:r>
                </w:p>
              </w:tc>
            </w:tr>
          </w:tb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trabajado en la vigencia Pro – RedES 2021</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841"/>
              <w:tblGridChange w:id="0">
                <w:tblGrid>
                  <w:gridCol w:w="2427"/>
                  <w:gridCol w:w="5841"/>
                </w:tblGrid>
              </w:tblGridChange>
            </w:tblGrid>
            <w:tr>
              <w:trPr>
                <w:cantSplit w:val="0"/>
                <w:trHeight w:val="285" w:hRule="atLeast"/>
                <w:tblHeader w:val="0"/>
              </w:trPr>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Segunda fase de la planta de energía fotovoltaica del Centro Comercial Plaza de las Américas</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1054 paneles solares tipo HIT, con capacidad de 342 Kwp en un área de 1869 m2 y con el cual se espera generar cerca de 436 mw al año</w:t>
                  </w:r>
                </w:p>
              </w:tc>
            </w:tr>
          </w:tb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generación de energía a partir de tecnología solar fotovoltaica, sumado a esto presentó un proyecto de implementación de puntos de carga  para vehículos eléctricos. Estos proyectos fueron  implementados en su totalidad y se reportaron los beneficios energéticos, económicos,  ambientales y sociales  obtenidos hasta el momento. Finalmente,  trabajó  en el acompañamiento con uno de sus proveedores para  la elaboración de la caracterización energética,  con el fin de replicar  las lecciones aprendidas en la mejora de su desempeño energético.</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Finalmente, se le recomienda fortalecer la promoción de acciones en sostenibilidad energética para los demás proveedores y aliados estratégicos. </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6">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fNy68wuAu8XB5Pg1eoC1rCNizg==">AMUW2mVVAOqUUTIyv69cYas7WmQjMao8tIrmtiWoPvIVAP1EtBHCvpdKPFKPwrvhbcd5NRQQxcQra75/EK1rqCDdgWxqdRJUBdykFcogSHe+zHuH+fi0HLk=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2021-11-26T16:20:00Z</dcterms:created>
  <dc:creator>Jorge Manrique</dc:creator>
</cp:coreProperties>
</file>